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Normal(web)"/>
        <w:rPr/>
      </w:pPr>
      <w:r>
        <w:rPr>
          <w:b/>
          <w:bCs/>
          <w:sz w:val="27"/>
          <w:szCs w:val="27"/>
        </w:rPr>
        <w:t>陸、教學科目與學分(節)數一覽表</w:t>
      </w:r>
    </w:p>
    <w:p>
      <w:pPr>
        <w:pStyle w:val="Normal(web)"/>
        <w:rPr/>
      </w:pPr>
      <w:r>
        <w:t>一、普通班</w:t>
      </w:r>
      <w:r>
        <w:t>社會組改成美術班（術科部定必修6</w:t>
      </w:r>
      <w:r>
        <w:t>0</w:t>
      </w:r>
      <w:r>
        <w:t>學分）</w:t>
      </w:r>
    </w:p>
    <w:p>
      <w:pPr>
        <w:pStyle w:val="Normal(web)"/>
        <w:rPr/>
      </w:pPr>
      <w:r>
        <w:t>班別：</w:t>
      </w:r>
      <w:r>
        <w:t>美術班（術科部定必修6</w:t>
      </w:r>
      <w:r>
        <w:t>0</w:t>
      </w:r>
      <w:r>
        <w:t>學分）</w:t>
      </w:r>
    </w:p>
    <w:tbl>
      <w:tblPr>
        <w:tblW w:w="5000" w:type="pct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sz="4" w:space="0"/>
          <w:insideV w:val="none" w:sz="4" w:space="0"/>
        </w:tblBorders>
        <w:tblCellMar>
          <w:left w:w="0" w:type="dxa"/>
          <w:right w:w="0" w:type="dxa"/>
        </w:tblCellMar>
        <w:tblLook w:val="04A0"/>
      </w:tblPr>
      <w:tblGrid>
        <w:gridCol w:w="776"/>
        <w:gridCol w:w="1464"/>
        <w:gridCol w:w="1464"/>
        <w:gridCol w:w="537"/>
        <w:gridCol w:w="537"/>
        <w:gridCol w:w="537"/>
        <w:gridCol w:w="537"/>
        <w:gridCol w:w="537"/>
        <w:gridCol w:w="537"/>
        <w:gridCol w:w="780"/>
        <w:gridCol w:w="1950"/>
      </w:tblGrid>
      <w:tr>
        <w:trPr/>
        <w:tc>
          <w:tcPr>
            <w:cnfStyle w:val="101000000000"/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類別</w:t>
            </w:r>
          </w:p>
        </w:tc>
        <w:tc>
          <w:tcPr>
            <w:cnfStyle w:val="100000000000"/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領域</w:t>
            </w:r>
          </w:p>
        </w:tc>
        <w:tc>
          <w:tcPr>
            <w:cnfStyle w:val="100000000000"/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科目名稱</w:t>
            </w:r>
          </w:p>
        </w:tc>
        <w:tc>
          <w:tcPr>
            <w:cnfStyle w:val="100000000000"/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第一學年</w:t>
            </w:r>
          </w:p>
        </w:tc>
        <w:tc>
          <w:tcPr>
            <w:cnfStyle w:val="100000000000"/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第二學年</w:t>
            </w:r>
          </w:p>
        </w:tc>
        <w:tc>
          <w:tcPr>
            <w:cnfStyle w:val="100000000000"/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第三學年</w:t>
            </w:r>
          </w:p>
        </w:tc>
        <w:tc>
          <w:tcPr>
            <w:cnfStyle w:val="100000000000"/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學分數</w:t>
            </w:r>
            <w:r>
              <w:rPr/>
              <w:br w:type="textWrapping"/>
            </w:r>
            <w:r>
              <w:t>小計</w:t>
            </w:r>
          </w:p>
        </w:tc>
        <w:tc>
          <w:tcPr>
            <w:cnfStyle w:val="100000000000"/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備註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一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二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一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二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一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二</w:t>
            </w: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010000"/>
            <w:tcW w:w="40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必修</w:t>
            </w:r>
          </w:p>
        </w:tc>
        <w:tc>
          <w:tcPr>
            <w:cnfStyle w:val="00000001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語文領域</w:t>
            </w: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國語文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4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4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4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4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4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20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英語文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4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4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4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4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18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數學領域</w:t>
            </w: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數學A</w:t>
            </w:r>
          </w:p>
        </w:tc>
        <w:tc>
          <w:tcPr>
            <w:cnfStyle w:val="000000010000"/>
            <w:tcW w:w="27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4</w:t>
            </w:r>
          </w:p>
        </w:tc>
        <w:tc>
          <w:tcPr>
            <w:cnfStyle w:val="000000010000"/>
            <w:tcW w:w="27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4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4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4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40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數學B</w:t>
            </w: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(4)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(4)</w:t>
            </w:r>
            <w:r>
              <w:rPr>
                <w:b/>
                <w:color w:val="ff0000"/>
                <w:sz w:val="20"/>
                <w:szCs w:val="20"/>
              </w:rPr>
              <w:t xml:space="preserve"> 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社會領域</w:t>
            </w: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歷史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6</w:t>
            </w:r>
            <w:r>
              <w:rPr>
                <w:b/>
                <w:color w:val="ff0000"/>
              </w:rPr>
              <w:t>改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地理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6</w:t>
            </w:r>
            <w:r>
              <w:rPr>
                <w:b/>
                <w:color w:val="ff0000"/>
              </w:rPr>
              <w:t>改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公民與社會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color w:val="ff0000"/>
              </w:rPr>
              <w:t>改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自然領域</w:t>
            </w: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物理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化學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生物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地球科學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藝術領域</w:t>
            </w: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音樂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美術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藝術生活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綜合活動領域</w:t>
            </w: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生命教育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生涯規劃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家政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科技領域</w:t>
            </w: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生活科技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改0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改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資訊科技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健康與體育領域</w:t>
            </w: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健康與護理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改0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  <w:r>
              <w:rPr>
                <w:b/>
                <w:color w:val="ff0000"/>
              </w:rPr>
              <w:t>改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體育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全民國防教育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一般學科小計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19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</w:t>
            </w:r>
            <w:r>
              <w:t>4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</w:t>
            </w:r>
            <w:r>
              <w:t>4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9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7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84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ff0000"/>
              </w:rPr>
              <w:t>部定必修</w:t>
            </w:r>
            <w:r>
              <w:rPr>
                <w:color w:val="ff0000"/>
              </w:rPr>
              <w:t>術科</w:t>
            </w:r>
            <w:r>
              <w:rPr>
                <w:color w:val="ff0000"/>
              </w:rPr>
              <w:t>專業課程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>
          <w:trHeight w:val="435" w:hRule="atLeast"/>
        </w:trPr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基礎結構素描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1009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>
          <w:trHeight w:val="285" w:hRule="atLeast"/>
        </w:trPr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基礎筆墨1</w:t>
            </w: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404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1009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>
          <w:trHeight w:val="375" w:hRule="atLeast"/>
        </w:trPr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基本設計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1009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>
          <w:trHeight w:val="345" w:hRule="atLeast"/>
        </w:trPr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基礎彩繪</w:t>
            </w:r>
            <w:r>
              <w:rPr>
                <w:color w:val="0070c0"/>
                <w:sz w:val="20"/>
                <w:szCs w:val="20"/>
              </w:rPr>
              <w:t>1</w:t>
              <w:tab/>
            </w: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404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1009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>
          <w:trHeight w:val="345" w:hRule="atLeast"/>
        </w:trPr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1516" w:type="pct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基礎精細素描</w:t>
            </w:r>
          </w:p>
        </w:tc>
        <w:tc>
          <w:tcPr>
            <w:cnfStyle w:val="00000001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cnfStyle w:val="00000001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404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1009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>
          <w:trHeight w:val="390" w:hRule="atLeast"/>
        </w:trPr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基礎筆墨</w:t>
            </w: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1009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>
          <w:trHeight w:val="330" w:hRule="atLeast"/>
        </w:trPr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1516" w:type="pct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基礎版畫</w:t>
            </w:r>
          </w:p>
        </w:tc>
        <w:tc>
          <w:tcPr>
            <w:cnfStyle w:val="00000001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cnfStyle w:val="00000001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404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1009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>
          <w:trHeight w:val="330" w:hRule="atLeast"/>
        </w:trPr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基礎彩繪</w:t>
            </w: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404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1009" w:type="pc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>
          <w:trHeight w:val="390" w:hRule="atLeast"/>
        </w:trPr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觀察與描寫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1009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>
          <w:trHeight w:val="330" w:hRule="atLeast"/>
        </w:trPr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複合媒材彩繪</w:t>
            </w: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404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1009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筆墨應用</w:t>
            </w: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數位藝術與</w:t>
            </w: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創客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影像探索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媒材與創</w:t>
            </w: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作</w:t>
            </w: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專題</w:t>
            </w: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A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主題創作</w:t>
            </w: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專題</w:t>
            </w: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A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綜合構成與表現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設計構成與繪畫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筆墨應用</w:t>
            </w: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藝術鑑賞</w:t>
            </w: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具象繪畫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創意表現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彩繪表現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筆墨</w:t>
            </w: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表現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藝術鑑賞2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18"/>
                <w:szCs w:val="18"/>
              </w:rPr>
              <w:t>媒材與創作專題</w:t>
            </w:r>
            <w:r>
              <w:rPr>
                <w:rFonts w:ascii="微軟正黑體" w:eastAsia="微軟正黑體" w:hAnsi="微軟正黑體"/>
                <w:b/>
                <w:color w:val="0070c0"/>
                <w:sz w:val="18"/>
                <w:szCs w:val="18"/>
              </w:rPr>
              <w:t>B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主題創作</w:t>
            </w: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專題</w:t>
            </w: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B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 w:val="20"/>
                <w:szCs w:val="20"/>
              </w:rPr>
              <w:t>展演實務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0070c0"/>
              </w:rPr>
            </w:pP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必修學分數小計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29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t>6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t>6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13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118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</w:p>
          <w:p>
            <w:pPr>
              <w:pStyle w:val="Normal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144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每週團體活動時間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12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每週彈性習學習時間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b/>
                <w:color w:val="ff0000"/>
                <w:sz w:val="18"/>
                <w:szCs w:val="18"/>
              </w:rPr>
              <w:t>改</w:t>
            </w: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b/>
                <w:color w:val="ff0000"/>
                <w:sz w:val="18"/>
                <w:szCs w:val="18"/>
              </w:rPr>
              <w:t>改</w:t>
            </w: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b/>
                <w:color w:val="ff0000"/>
                <w:sz w:val="18"/>
                <w:szCs w:val="18"/>
              </w:rPr>
              <w:t>改</w:t>
            </w: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b/>
                <w:color w:val="ff0000"/>
                <w:sz w:val="18"/>
                <w:szCs w:val="18"/>
              </w:rPr>
              <w:t>改</w:t>
            </w: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b/>
                <w:color w:val="ff0000"/>
                <w:sz w:val="18"/>
                <w:szCs w:val="18"/>
              </w:rPr>
              <w:t>改</w:t>
            </w: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b/>
                <w:color w:val="ff0000"/>
                <w:sz w:val="18"/>
                <w:szCs w:val="18"/>
              </w:rPr>
              <w:t>改</w:t>
            </w: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15改</w:t>
            </w: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每週節數小計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34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34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</w:t>
            </w: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</w:t>
            </w: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t>4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17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  <w:sz w:val="20"/>
                <w:szCs w:val="20"/>
              </w:rPr>
            </w:pPr>
            <w:r>
              <w:t>148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68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  <w:r>
              <w:rPr/>
              <w:br w:type="textWrapping"/>
            </w: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151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</w:tbl>
    <w:p>
      <w:pPr>
        <w:pStyle w:val="Normal(web)"/>
        <w:spacing w:before="0" w:after="0"/>
        <w:rPr>
          <w:vanish/>
        </w:rPr>
      </w:pPr>
    </w:p>
    <w:tbl>
      <w:tblPr>
        <w:tblW w:w="5000" w:type="pct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sz="4" w:space="0"/>
          <w:insideV w:val="none" w:sz="4" w:space="0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1464"/>
        <w:gridCol w:w="1464"/>
        <w:gridCol w:w="536"/>
        <w:gridCol w:w="536"/>
        <w:gridCol w:w="536"/>
        <w:gridCol w:w="536"/>
        <w:gridCol w:w="536"/>
        <w:gridCol w:w="536"/>
        <w:gridCol w:w="780"/>
        <w:gridCol w:w="1952"/>
      </w:tblGrid>
      <w:tr>
        <w:trPr/>
        <w:tc>
          <w:tcPr>
            <w:cnfStyle w:val="101000000000"/>
            <w:tcW w:w="40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校訂必修</w:t>
            </w:r>
          </w:p>
        </w:tc>
        <w:tc>
          <w:tcPr>
            <w:cnfStyle w:val="100000000000"/>
            <w:tcW w:w="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實作(實驗)及探索體驗</w:t>
            </w:r>
          </w:p>
        </w:tc>
        <w:tc>
          <w:tcPr>
            <w:cnfStyle w:val="100000000000"/>
            <w:tcW w:w="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服務學習</w:t>
            </w:r>
          </w:p>
        </w:tc>
        <w:tc>
          <w:tcPr>
            <w:cnfStyle w:val="10000000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10000000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10000000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10000000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  <w:r>
              <w:rPr>
                <w:b/>
                <w:color w:val="ff0000"/>
                <w:sz w:val="16"/>
                <w:szCs w:val="16"/>
              </w:rPr>
              <w:t>改0</w:t>
            </w:r>
          </w:p>
        </w:tc>
        <w:tc>
          <w:tcPr>
            <w:cnfStyle w:val="10000000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cnfStyle w:val="10000000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b/>
                <w:color w:val="ff0000"/>
                <w:sz w:val="16"/>
                <w:szCs w:val="16"/>
              </w:rPr>
              <w:t>改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cnfStyle w:val="100000000000"/>
            <w:tcW w:w="4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100000000000"/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跨領域/科目統整</w:t>
            </w:r>
          </w:p>
        </w:tc>
        <w:tc>
          <w:tcPr>
            <w:cnfStyle w:val="000000100000"/>
            <w:tcW w:w="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閱讀理解</w:t>
            </w:r>
          </w:p>
        </w:tc>
        <w:tc>
          <w:tcPr>
            <w:cnfStyle w:val="00000010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10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4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100000"/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校訂必修學分數小計</w:t>
            </w:r>
          </w:p>
        </w:tc>
        <w:tc>
          <w:tcPr>
            <w:cnfStyle w:val="00000001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b/>
                <w:color w:val="ff0000"/>
                <w:sz w:val="16"/>
                <w:szCs w:val="16"/>
              </w:rPr>
              <w:t>改</w:t>
            </w: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cnfStyle w:val="00000001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b/>
                <w:color w:val="ff0000"/>
                <w:sz w:val="16"/>
                <w:szCs w:val="16"/>
              </w:rPr>
              <w:t>改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cnfStyle w:val="000000010000"/>
            <w:tcW w:w="4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4</w:t>
            </w:r>
          </w:p>
        </w:tc>
        <w:tc>
          <w:tcPr>
            <w:cnfStyle w:val="000000010000"/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</w:tbl>
    <w:p>
      <w:pPr>
        <w:pStyle w:val="Normal(web)"/>
        <w:spacing w:before="0" w:after="0"/>
        <w:rPr>
          <w:vanish/>
        </w:rPr>
      </w:pPr>
    </w:p>
    <w:tbl>
      <w:tblPr>
        <w:tblW w:w="5000" w:type="pct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sz="4" w:space="0"/>
          <w:insideV w:val="none" w:sz="4" w:space="0"/>
        </w:tblBorders>
        <w:tblCellMar>
          <w:left w:w="0" w:type="dxa"/>
          <w:right w:w="0" w:type="dxa"/>
        </w:tblCellMar>
        <w:tblLook w:val="04A0"/>
      </w:tblPr>
      <w:tblGrid>
        <w:gridCol w:w="778"/>
        <w:gridCol w:w="1464"/>
        <w:gridCol w:w="1464"/>
        <w:gridCol w:w="537"/>
        <w:gridCol w:w="537"/>
        <w:gridCol w:w="537"/>
        <w:gridCol w:w="537"/>
        <w:gridCol w:w="537"/>
        <w:gridCol w:w="537"/>
        <w:gridCol w:w="780"/>
        <w:gridCol w:w="1951"/>
      </w:tblGrid>
      <w:tr>
        <w:trPr/>
        <w:tc>
          <w:tcPr>
            <w:cnfStyle w:val="101000000000"/>
            <w:tcW w:w="403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加深加廣選修</w:t>
            </w:r>
          </w:p>
        </w:tc>
        <w:tc>
          <w:tcPr>
            <w:cnfStyle w:val="10000000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語文領域</w:t>
            </w:r>
          </w:p>
        </w:tc>
        <w:tc>
          <w:tcPr>
            <w:cnfStyle w:val="1000000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國學常識</w:t>
            </w:r>
          </w:p>
        </w:tc>
        <w:tc>
          <w:tcPr>
            <w:cnfStyle w:val="1000000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1000000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1000000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1000000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1000000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1000000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1000000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10000000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語文表達與傳播應用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10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各類文學選讀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專題閱讀與研究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b/>
                <w:color w:val="ff0000"/>
                <w:sz w:val="16"/>
                <w:szCs w:val="16"/>
              </w:rPr>
              <w:t>改</w:t>
            </w: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  <w:sz w:val="16"/>
                <w:szCs w:val="16"/>
              </w:rPr>
              <w:t>改</w:t>
            </w: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cnfStyle w:val="00000010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英語聽講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英文閱讀與寫作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10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英文作文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數學領域</w:t>
            </w: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數學乙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b/>
                <w:color w:val="ff0000"/>
                <w:sz w:val="16"/>
                <w:szCs w:val="16"/>
              </w:rPr>
              <w:t>改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b/>
                <w:color w:val="ff0000"/>
                <w:sz w:val="16"/>
                <w:szCs w:val="16"/>
              </w:rPr>
              <w:t>改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b/>
                <w:color w:val="ff0000"/>
                <w:sz w:val="16"/>
                <w:szCs w:val="16"/>
              </w:rPr>
              <w:t>改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b/>
                <w:color w:val="ff0000"/>
                <w:sz w:val="16"/>
                <w:szCs w:val="16"/>
              </w:rPr>
              <w:t>改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8</w:t>
            </w:r>
            <w:r>
              <w:rPr>
                <w:b/>
                <w:color w:val="ff0000"/>
                <w:sz w:val="16"/>
                <w:szCs w:val="16"/>
              </w:rPr>
              <w:t>改</w:t>
            </w: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cnfStyle w:val="00000010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社會領域</w:t>
            </w: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族群、性別與國家的歷史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cnfStyle w:val="00000001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科技、環境與藝術的歷史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</w:t>
            </w:r>
          </w:p>
        </w:tc>
        <w:tc>
          <w:tcPr>
            <w:cnfStyle w:val="00000010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空間資訊科技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cnfStyle w:val="00000001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社會環境議題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cnfStyle w:val="00000010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現代社會與經濟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cnfStyle w:val="00000001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民主政治與法律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cnfStyle w:val="00000010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探究與實作：歷史學探究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  <w:r>
              <w:rPr>
                <w:b/>
                <w:color w:val="ff0000"/>
                <w:sz w:val="20"/>
                <w:szCs w:val="20"/>
              </w:rPr>
              <w:t xml:space="preserve"> 改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01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探究與實作：地理與人文社會科學研究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  <w:r>
              <w:rPr>
                <w:b/>
                <w:color w:val="ff0000"/>
                <w:sz w:val="20"/>
                <w:szCs w:val="20"/>
              </w:rPr>
              <w:t xml:space="preserve"> 改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</w:p>
        </w:tc>
        <w:tc>
          <w:tcPr>
            <w:cnfStyle w:val="00000010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探究與實作：公共議題與社會探究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自然科學領域</w:t>
            </w: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選修生物-細胞與遺傳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藝術領域</w:t>
            </w: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基本設計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新媒體藝術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綜合活動領域</w:t>
            </w: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未來想像與生涯進路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創新生活與家庭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科技領域</w:t>
            </w: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領域課程：科技應用專題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進階程式設計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健康與體育領域</w:t>
            </w: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運動與健康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01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健康與休閒生活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  <w:sz w:val="20"/>
                <w:szCs w:val="20"/>
              </w:rPr>
              <w:t>改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cnfStyle w:val="00000010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0010000"/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</w:tr>
    </w:tbl>
    <w:p>
      <w:pPr>
        <w:pStyle w:val="Normal(web)"/>
        <w:spacing w:before="0" w:after="0"/>
        <w:rPr>
          <w:vanish/>
        </w:rPr>
      </w:pPr>
    </w:p>
    <w:tbl>
      <w:tblPr>
        <w:tblW w:w="5000" w:type="pct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sz="4" w:space="0"/>
          <w:insideV w:val="none" w:sz="4" w:space="0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1337"/>
        <w:gridCol w:w="1336"/>
        <w:gridCol w:w="491"/>
        <w:gridCol w:w="532"/>
        <w:gridCol w:w="531"/>
        <w:gridCol w:w="530"/>
        <w:gridCol w:w="804"/>
        <w:gridCol w:w="804"/>
        <w:gridCol w:w="807"/>
        <w:gridCol w:w="1775"/>
      </w:tblGrid>
      <w:tr>
        <w:trPr/>
        <w:tc>
          <w:tcPr>
            <w:cnfStyle w:val="101000000000"/>
            <w:tcW w:w="40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多元選修</w:t>
            </w:r>
          </w:p>
        </w:tc>
        <w:tc>
          <w:tcPr>
            <w:cnfStyle w:val="1000000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全民國防教育</w:t>
            </w:r>
          </w:p>
        </w:tc>
        <w:tc>
          <w:tcPr>
            <w:cnfStyle w:val="1000000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野外求生</w:t>
            </w:r>
          </w:p>
        </w:tc>
        <w:tc>
          <w:tcPr>
            <w:cnfStyle w:val="1000000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1000000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1000000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1000000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1000000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1000000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1000000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1000000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第二外國語文</w:t>
            </w: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日語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西班牙語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專題探究</w:t>
            </w: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公民視界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資訊能力檢定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影視史學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英檢攻略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通識性課程</w:t>
            </w: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數學潛能開發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音樂劇賞析與展演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實用日語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財務金融概論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實作(實驗)及探索體驗</w:t>
            </w: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英文繪本與創作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改0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</w:rPr>
              <w:t>改0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無人機原理與應用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玩具自造者專題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微電影創作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無人機證照培訓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在地文學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Live2D動畫設計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詩想與文案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英語動畫配音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color w:val="ff0000"/>
              </w:rPr>
              <w:t>2改0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</w:rPr>
              <w:t>改0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新文藝創作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</w:rPr>
              <w:t>改0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</w:t>
            </w:r>
            <w:r>
              <w:rPr>
                <w:b/>
                <w:color w:val="ff0000"/>
              </w:rPr>
              <w:t>改0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跨領域/科目專題</w:t>
            </w: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食的安全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新住民原鄉探索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運動與科學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大學預修課程</w:t>
            </w: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商用微積分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職涯試探</w:t>
            </w: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夢想啟航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010000"/>
            <w:tcW w:w="7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跨領域/科目統整</w:t>
            </w:r>
          </w:p>
        </w:tc>
        <w:tc>
          <w:tcPr>
            <w:cnfStyle w:val="00000001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運動書寫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01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01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cnfStyle w:val="000000100000"/>
            <w:tcW w:w="7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遊程規劃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  <w:tc>
          <w:tcPr>
            <w:cnfStyle w:val="000000100000"/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(2)</w:t>
            </w:r>
          </w:p>
        </w:tc>
        <w:tc>
          <w:tcPr>
            <w:cnfStyle w:val="000000100000"/>
            <w:tcW w:w="4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00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選修學分數總計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6</w:t>
            </w:r>
            <w:r>
              <w:rPr>
                <w:b/>
                <w:color w:val="ff0000"/>
              </w:rPr>
              <w:t>改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4</w:t>
            </w:r>
            <w:r>
              <w:rPr>
                <w:b/>
                <w:color w:val="ff0000"/>
              </w:rPr>
              <w:t>改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20</w:t>
            </w:r>
            <w:r>
              <w:rPr>
                <w:b/>
                <w:color w:val="ff0000"/>
              </w:rPr>
              <w:t>改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26</w:t>
            </w:r>
            <w:r>
              <w:rPr>
                <w:b/>
                <w:color w:val="ff0000"/>
              </w:rPr>
              <w:t>改</w:t>
            </w:r>
            <w:r>
              <w:rPr>
                <w:b/>
                <w:color w:val="ff0000"/>
              </w:rPr>
              <w:t>16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</w:t>
            </w:r>
            <w:r>
              <w:rPr>
                <w:b/>
                <w:color w:val="ff0000"/>
              </w:rPr>
              <w:t>改3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</w:tr>
      <w:tr>
        <w:trPr/>
        <w:tc>
          <w:tcPr>
            <w:cnfStyle w:val="001000100000"/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必選修學分數總計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</w:t>
            </w:r>
            <w:r>
              <w:t>1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31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31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31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31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31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18</w:t>
            </w:r>
            <w:r>
              <w:t>6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</w:tr>
      <w:tr>
        <w:trPr/>
        <w:tc>
          <w:tcPr>
            <w:cnfStyle w:val="001000010000"/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每週節數總計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35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35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35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35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35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35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210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t> </w:t>
            </w:r>
          </w:p>
        </w:tc>
      </w:tr>
    </w:tbl>
    <w:p>
      <w:pPr>
        <w:pStyle w:val="Normal(web)"/>
        <w:tabs>
          <w:tab w:val="left" w:leader="none" w:pos="5715"/>
        </w:tabs>
        <w:rPr/>
      </w:pPr>
      <w:r>
        <w:tab/>
      </w:r>
    </w:p>
    <w:p>
      <w:pPr>
        <w:pStyle w:val="Normal"/>
        <w:rPr/>
      </w:pPr>
    </w:p>
    <w:sectPr>
      <w:headerReference w:type="default" r:id="rId5"/>
      <w:footerReference w:type="default" r:id="rId6"/>
      <w:pgSz w:w="11906" w:h="16838"/>
      <w:pgMar w:top="1191" w:right="1134" w:bottom="1247" w:left="1134" w:header="851" w:footer="992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0000000000000000000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  <w:font w:name="Vrinda"/>
  <w:font w:name="Microsoft JhengHei"/>
  <w:font w:name="Plantagenet Cherokee"/>
  <w:font w:name="Mangal"/>
  <w:font w:name="Nyala"/>
  <w:font w:name="Sylfaen"/>
  <w:font w:name="Shruti"/>
  <w:font w:name="Raavi"/>
  <w:font w:name="맑은 고딕"/>
  <w:font w:name="Tunga"/>
  <w:font w:name="MoolBoran"/>
  <w:font w:name="DokChampa"/>
  <w:font w:name="Kartika"/>
  <w:font w:name="Mongolian Baiti"/>
  <w:font w:name="Myanmar Text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Ebrima"/>
  <w:font w:name="Microsoft Tai Le"/>
  <w:font w:name="Leelawadee UI"/>
  <w:font w:name="Microsoft New Tai Lue"/>
  <w:font w:name="等线 Light"/>
  <w:font w:name="Javanese Text"/>
  <w:font w:name="Phagspa"/>
  <w:font w:name="游ゴシック Light"/>
  <w:font w:name="Nirmala UI"/>
  <w:font w:name="Segoe UI"/>
  <w:font w:name="DaunPenh"/>
  <w:font w:name="Cordia New"/>
  <w:font w:name="等线"/>
  <w:font w:name="游明朝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jc w:val="center"/>
      <w:rPr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TW"/>
      </w:rPr>
      <w:t>5</w:t>
    </w:r>
    <w:r>
      <w:fldChar w:fldCharType="end"/>
    </w:r>
  </w:p>
  <w:p>
    <w:pPr>
      <w:pStyle w:val="Footer"/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Header"/>
      <w:jc w:val="center"/>
      <w:rPr/>
    </w:pPr>
  </w:p>
  <w:p>
    <w:pPr>
      <w:pStyle w:val="Header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taiwaneseCountingThousand"/>
      <w:suff w:val="tab"/>
      <w:lvlText w:val="%1、"/>
      <w:lvlJc w:val="left"/>
      <w:pPr>
        <w:ind w:left="622" w:hanging="480"/>
      </w:pPr>
      <w:rPr/>
    </w:lvl>
    <w:lvl w:ilvl="1">
      <w:start w:val="1"/>
      <w:numFmt w:val="ideographTraditional"/>
      <w:suff w:val="tab"/>
      <w:lvlText w:val="%2、"/>
      <w:lvlJc w:val="left"/>
      <w:pPr>
        <w:ind w:left="960" w:hanging="48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1">
    <w:multiLevelType w:val="multilevel"/>
    <w:lvl w:ilvl="0">
      <w:start w:val="1"/>
      <w:numFmt w:val="taiwaneseCountingThousand"/>
      <w:suff w:val="tab"/>
      <w:lvlText w:val="(%1)"/>
      <w:lvlJc w:val="left"/>
      <w:pPr>
        <w:ind w:left="960" w:hanging="48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2">
    <w:multiLevelType w:val="multilevel"/>
    <w:lvl w:ilvl="0">
      <w:start w:val="1"/>
      <w:numFmt w:val="taiwaneseCountingThousand"/>
      <w:suff w:val="tab"/>
      <w:lvlText w:val="(%1)"/>
      <w:lvlJc w:val="left"/>
      <w:pPr>
        <w:ind w:left="960" w:hanging="48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displayBackgroundShape w:val="off"/>
  <w:compat>
    <w:compatSetting w:name="compatibilityMode" w:uri="http://schemas.microsoft.com/office/word" w:val="11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cs="Times New Roman" w:eastAsia="新細明體" w:hAnsi="Calibri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rFonts w:ascii="新細明體" w:cs="新細明體" w:hAnsi="新細明體"/>
      <w:sz w:val="24"/>
      <w:szCs w:val="24"/>
      <w:lang w:val="en-US" w:bidi="ar-SA" w:eastAsia="zh-TW"/>
    </w:rPr>
  </w:style>
  <w:style w:type="character" w:default="1" w:styleId="Defaultparagraphfont">
    <w:name w:val="Default paragraph font"/>
    <w:link w:val="Normal"/>
    <w:uiPriority w:val="1"/>
    <w:semiHidden w:val="on"/>
    <w:rPr/>
  </w:style>
  <w:style w:type="table" w:default="1" w:styleId="Normaltable">
    <w:name w:val="Normal table"/>
    <w:uiPriority w:val="99"/>
    <w:semiHidden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pPr/>
  </w:style>
  <w:style w:type="paragraph" w:styleId="Normal(web)">
    <w:name w:val="Normal (web)"/>
    <w:basedOn w:val="Normal"/>
    <w:link w:val="Normal"/>
    <w:uiPriority w:val="99"/>
    <w:pPr>
      <w:spacing w:before="100" w:after="100"/>
    </w:pPr>
    <w:rPr/>
  </w:style>
  <w:style w:type="paragraph" w:styleId="Header">
    <w:name w:val="Header"/>
    <w:basedOn w:val="Normal"/>
    <w:link w:val="頁首字元"/>
    <w:uiPriority w:val="99"/>
    <w:pPr>
      <w:tabs>
        <w:tab w:val="center" w:leader="none" w:pos="4153"/>
        <w:tab w:val="right" w:leader="none" w:pos="8306"/>
      </w:tabs>
    </w:pPr>
    <w:rPr>
      <w:sz w:val="20"/>
      <w:szCs w:val="20"/>
    </w:rPr>
  </w:style>
  <w:style w:type="character" w:customStyle="1" w:styleId="頁首字元">
    <w:name w:val="頁首 字元"/>
    <w:link w:val="Header"/>
    <w:uiPriority w:val="99"/>
    <w:rPr>
      <w:rFonts w:ascii="新細明體" w:cs="新細明體" w:eastAsia="新細明體" w:hAnsi="新細明體"/>
      <w:sz w:val="20"/>
      <w:szCs w:val="20"/>
    </w:rPr>
  </w:style>
  <w:style w:type="paragraph" w:styleId="Footer">
    <w:name w:val="Footer"/>
    <w:basedOn w:val="Normal"/>
    <w:link w:val="頁尾字元"/>
    <w:uiPriority w:val="99"/>
    <w:pPr>
      <w:tabs>
        <w:tab w:val="center" w:leader="none" w:pos="4153"/>
        <w:tab w:val="right" w:leader="none" w:pos="8306"/>
      </w:tabs>
    </w:pPr>
    <w:rPr>
      <w:sz w:val="20"/>
      <w:szCs w:val="20"/>
    </w:rPr>
  </w:style>
  <w:style w:type="character" w:customStyle="1" w:styleId="頁尾字元">
    <w:name w:val="頁尾 字元"/>
    <w:link w:val="Footer"/>
    <w:uiPriority w:val="99"/>
    <w:rPr>
      <w:rFonts w:ascii="新細明體" w:cs="新細明體" w:eastAsia="新細明體" w:hAnsi="新細明體"/>
      <w:sz w:val="20"/>
      <w:szCs w:val="20"/>
    </w:rPr>
  </w:style>
  <w:style w:type="paragraph" w:styleId="Balloontext">
    <w:name w:val="Balloon text"/>
    <w:basedOn w:val="Normal"/>
    <w:link w:val="註解方塊文字字元"/>
    <w:uiPriority w:val="99"/>
    <w:semiHidden w:val="on"/>
    <w:pPr/>
    <w:rPr>
      <w:rFonts w:ascii="Cambria" w:cs="Times New Roman" w:hAnsi="Cambria"/>
      <w:sz w:val="18"/>
      <w:szCs w:val="18"/>
    </w:rPr>
  </w:style>
  <w:style w:type="character" w:customStyle="1" w:styleId="註解方塊文字字元">
    <w:name w:val="註解方塊文字 字元"/>
    <w:link w:val="Balloontext"/>
    <w:uiPriority w:val="99"/>
    <w:semiHidden w:val="on"/>
    <w:rPr>
      <w:rFonts w:ascii="Cambria" w:cs="Times New Roman" w:eastAsia="新細明體" w:hAnsi="Cambria"/>
      <w:sz w:val="18"/>
      <w:szCs w:val="18"/>
    </w:rPr>
  </w:style>
  <w:style w:type="paragraph" w:styleId="Listparagraph">
    <w:name w:val="List paragraph"/>
    <w:basedOn w:val="Normal"/>
    <w:link w:val="Normal"/>
    <w:uiPriority w:val="1"/>
    <w:qFormat w:val="on"/>
    <w:pPr>
      <w:ind w:left="480"/>
    </w:pPr>
    <w:rPr>
      <w:rFonts w:ascii="Times New Roman" w:cs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sx="100000" sy="100000" kx="0" ky="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yueh635721 鍾政岳</cp:lastModifiedBy>
</cp:coreProperties>
</file>